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830A09" w14:textId="77777777" w:rsidR="001B205A" w:rsidRPr="001B205A" w:rsidRDefault="001B205A" w:rsidP="001B205A">
      <w:pPr>
        <w:rPr>
          <w:b/>
          <w:bCs/>
        </w:rPr>
      </w:pPr>
      <w:r w:rsidRPr="001B205A">
        <w:rPr>
          <w:b/>
          <w:bCs/>
        </w:rPr>
        <w:t>Charge to the Ad Hoc Committee for Due Diligence on Contract for Communication Services by a Disqualified Individual</w:t>
      </w:r>
    </w:p>
    <w:p w14:paraId="3124ABC0" w14:textId="77777777" w:rsidR="001B205A" w:rsidRPr="001B205A" w:rsidRDefault="001B205A" w:rsidP="001B205A">
      <w:r w:rsidRPr="001B205A">
        <w:rPr>
          <w:b/>
          <w:bCs/>
        </w:rPr>
        <w:t>Date:</w:t>
      </w:r>
      <w:r w:rsidRPr="001B205A">
        <w:br/>
      </w:r>
      <w:r w:rsidRPr="001B205A">
        <w:rPr>
          <w:b/>
          <w:bCs/>
        </w:rPr>
        <w:t>To:</w:t>
      </w:r>
      <w:r w:rsidRPr="001B205A">
        <w:t xml:space="preserve"> ChicoryLane Foundation Board of Directors</w:t>
      </w:r>
      <w:r w:rsidRPr="001B205A">
        <w:br/>
      </w:r>
      <w:r w:rsidRPr="001B205A">
        <w:rPr>
          <w:b/>
          <w:bCs/>
        </w:rPr>
        <w:t>From:</w:t>
      </w:r>
      <w:r w:rsidRPr="001B205A">
        <w:t xml:space="preserve"> ChicoryLane Executive Committee</w:t>
      </w:r>
      <w:r w:rsidRPr="001B205A">
        <w:br/>
      </w:r>
      <w:r w:rsidRPr="001B205A">
        <w:rPr>
          <w:b/>
          <w:bCs/>
        </w:rPr>
        <w:t>Re:</w:t>
      </w:r>
      <w:r w:rsidRPr="001B205A">
        <w:t xml:space="preserve"> Referral of Contract Proposal to Ad Hoc Committee for Analysis and Recommendation</w:t>
      </w:r>
      <w:r w:rsidRPr="001B205A">
        <w:br/>
      </w:r>
      <w:r w:rsidRPr="001B205A">
        <w:rPr>
          <w:b/>
          <w:bCs/>
        </w:rPr>
        <w:t>Issue:</w:t>
      </w:r>
      <w:r w:rsidRPr="001B205A">
        <w:t xml:space="preserve"> Contract Consideration for Communication Services by Lauren Smith, a Disqualified Individual</w:t>
      </w:r>
    </w:p>
    <w:p w14:paraId="66DDAC3B" w14:textId="77777777" w:rsidR="001B205A" w:rsidRPr="001B205A" w:rsidRDefault="00000000" w:rsidP="001B205A">
      <w:r>
        <w:pict w14:anchorId="5AE23B06">
          <v:rect id="_x0000_i1025" style="width:0;height:1.5pt" o:hralign="center" o:hrstd="t" o:hr="t" fillcolor="#a0a0a0" stroked="f"/>
        </w:pict>
      </w:r>
    </w:p>
    <w:p w14:paraId="61253836" w14:textId="77777777" w:rsidR="001B205A" w:rsidRPr="001B205A" w:rsidRDefault="001B205A" w:rsidP="001B205A">
      <w:pPr>
        <w:rPr>
          <w:b/>
          <w:bCs/>
        </w:rPr>
      </w:pPr>
      <w:r w:rsidRPr="001B205A">
        <w:rPr>
          <w:b/>
          <w:bCs/>
        </w:rPr>
        <w:t>Background and Issue</w:t>
      </w:r>
    </w:p>
    <w:p w14:paraId="6BEA5538" w14:textId="77777777" w:rsidR="001B205A" w:rsidRPr="001B205A" w:rsidRDefault="001B205A" w:rsidP="001B205A">
      <w:r w:rsidRPr="001B205A">
        <w:t xml:space="preserve">Lauren Smith has voluntarily provided communication services to the ChicoryLane Foundation (CLF) since its inception in May 2024, including maintaining the Foundation’s contacts database, drafting and composing email announcements, and developing newsletters. As she is married to Ian Smith, the son of co-founders John and Catherine Smith, she is classified as a </w:t>
      </w:r>
      <w:r w:rsidRPr="001B205A">
        <w:rPr>
          <w:b/>
          <w:bCs/>
        </w:rPr>
        <w:t>disqualified individual</w:t>
      </w:r>
      <w:r w:rsidRPr="001B205A">
        <w:t xml:space="preserve"> under IRS regulations.</w:t>
      </w:r>
    </w:p>
    <w:p w14:paraId="17D42AE0" w14:textId="77777777" w:rsidR="001B205A" w:rsidRPr="001B205A" w:rsidRDefault="001B205A" w:rsidP="001B205A">
      <w:r w:rsidRPr="001B205A">
        <w:t xml:space="preserve">The IRS prohibits self-dealing between private foundations and disqualified individuals, except in cases where the services are necessary, the compensation is reasonable, and the payment is properly documented. Lauren Smith has been proposed for a </w:t>
      </w:r>
      <w:r w:rsidRPr="001B205A">
        <w:rPr>
          <w:b/>
          <w:bCs/>
        </w:rPr>
        <w:t>fixed-fee contract of $2,000</w:t>
      </w:r>
      <w:r w:rsidRPr="001B205A">
        <w:t xml:space="preserve"> for communication services for the 2025 calendar year. The board must ensure this decision complies with IRS rules and serves the best interests of the Foundation.</w:t>
      </w:r>
    </w:p>
    <w:p w14:paraId="417D8BA5" w14:textId="77777777" w:rsidR="001B205A" w:rsidRPr="001B205A" w:rsidRDefault="00000000" w:rsidP="001B205A">
      <w:r>
        <w:pict w14:anchorId="33FF2D72">
          <v:rect id="_x0000_i1026" style="width:0;height:1.5pt" o:hralign="center" o:hrstd="t" o:hr="t" fillcolor="#a0a0a0" stroked="f"/>
        </w:pict>
      </w:r>
    </w:p>
    <w:p w14:paraId="08632298" w14:textId="77777777" w:rsidR="001B205A" w:rsidRPr="001B205A" w:rsidRDefault="001B205A" w:rsidP="001B205A">
      <w:pPr>
        <w:rPr>
          <w:b/>
          <w:bCs/>
        </w:rPr>
      </w:pPr>
      <w:r w:rsidRPr="001B205A">
        <w:rPr>
          <w:b/>
          <w:bCs/>
        </w:rPr>
        <w:t>Charge to the Ad Hoc Committee</w:t>
      </w:r>
    </w:p>
    <w:p w14:paraId="5E32D90A" w14:textId="77777777" w:rsidR="001B205A" w:rsidRPr="001B205A" w:rsidRDefault="001B205A" w:rsidP="001B205A">
      <w:r w:rsidRPr="001B205A">
        <w:t>The Executive Committee formally charges this ad hoc committee to conduct a thorough due diligence analysis and report on the appropriateness of awarding the proposed contract to Lauren Smith. The committee is asked to address the following points:</w:t>
      </w:r>
    </w:p>
    <w:p w14:paraId="5FBD3AD5" w14:textId="77777777" w:rsidR="001B205A" w:rsidRPr="001B205A" w:rsidRDefault="001B205A" w:rsidP="001B205A">
      <w:pPr>
        <w:numPr>
          <w:ilvl w:val="0"/>
          <w:numId w:val="5"/>
        </w:numPr>
      </w:pPr>
      <w:r w:rsidRPr="001B205A">
        <w:rPr>
          <w:b/>
          <w:bCs/>
        </w:rPr>
        <w:t>Needs Assessment</w:t>
      </w:r>
    </w:p>
    <w:p w14:paraId="7986F449" w14:textId="77777777" w:rsidR="001B205A" w:rsidRPr="001B205A" w:rsidRDefault="001B205A" w:rsidP="001B205A">
      <w:pPr>
        <w:numPr>
          <w:ilvl w:val="1"/>
          <w:numId w:val="5"/>
        </w:numPr>
      </w:pPr>
      <w:r w:rsidRPr="001B205A">
        <w:t xml:space="preserve">Determine whether the communication services provided by Lauren Smith are </w:t>
      </w:r>
      <w:r w:rsidRPr="007C5D7D">
        <w:t>essential</w:t>
      </w:r>
      <w:r w:rsidRPr="001B205A">
        <w:t xml:space="preserve"> to the ongoing operations of the Foundation.</w:t>
      </w:r>
    </w:p>
    <w:p w14:paraId="49569ED6" w14:textId="77777777" w:rsidR="001B205A" w:rsidRPr="001B205A" w:rsidRDefault="001B205A" w:rsidP="001B205A">
      <w:pPr>
        <w:numPr>
          <w:ilvl w:val="0"/>
          <w:numId w:val="5"/>
        </w:numPr>
      </w:pPr>
      <w:r w:rsidRPr="001B205A">
        <w:rPr>
          <w:b/>
          <w:bCs/>
        </w:rPr>
        <w:t>Compensation Review</w:t>
      </w:r>
    </w:p>
    <w:p w14:paraId="1B185D93" w14:textId="77777777" w:rsidR="001B205A" w:rsidRPr="001B205A" w:rsidRDefault="001B205A" w:rsidP="001B205A">
      <w:pPr>
        <w:numPr>
          <w:ilvl w:val="1"/>
          <w:numId w:val="5"/>
        </w:numPr>
      </w:pPr>
      <w:r w:rsidRPr="001B205A">
        <w:t xml:space="preserve">Compare the proposed </w:t>
      </w:r>
      <w:r w:rsidRPr="001B205A">
        <w:rPr>
          <w:b/>
          <w:bCs/>
        </w:rPr>
        <w:t>flat fee of $2,000</w:t>
      </w:r>
      <w:r w:rsidRPr="001B205A">
        <w:t xml:space="preserve"> to typical market rates for similar communication services within the nonprofit and for-profit sectors. Ensure </w:t>
      </w:r>
      <w:r w:rsidRPr="001B205A">
        <w:lastRenderedPageBreak/>
        <w:t xml:space="preserve">that the compensation is </w:t>
      </w:r>
      <w:r w:rsidRPr="001B205A">
        <w:rPr>
          <w:b/>
          <w:bCs/>
        </w:rPr>
        <w:t>reasonable</w:t>
      </w:r>
      <w:r w:rsidRPr="001B205A">
        <w:t xml:space="preserve"> in terms of time commitment (100 hours) and scope of work (emails, newsletters, database management, and liaison duties).</w:t>
      </w:r>
    </w:p>
    <w:p w14:paraId="10CA7E1D" w14:textId="77777777" w:rsidR="001B205A" w:rsidRPr="001B205A" w:rsidRDefault="001B205A" w:rsidP="001B205A">
      <w:pPr>
        <w:numPr>
          <w:ilvl w:val="0"/>
          <w:numId w:val="5"/>
        </w:numPr>
      </w:pPr>
      <w:r w:rsidRPr="001B205A">
        <w:rPr>
          <w:b/>
          <w:bCs/>
        </w:rPr>
        <w:t>Alternative Options</w:t>
      </w:r>
    </w:p>
    <w:p w14:paraId="4354CA5E" w14:textId="77777777" w:rsidR="001B205A" w:rsidRPr="001B205A" w:rsidRDefault="001B205A" w:rsidP="001B205A">
      <w:pPr>
        <w:numPr>
          <w:ilvl w:val="1"/>
          <w:numId w:val="5"/>
        </w:numPr>
      </w:pPr>
      <w:r w:rsidRPr="001B205A">
        <w:t>Assess whether there are</w:t>
      </w:r>
      <w:r w:rsidRPr="007C5D7D">
        <w:t xml:space="preserve"> alternative candidates</w:t>
      </w:r>
      <w:r w:rsidRPr="001B205A">
        <w:t xml:space="preserve"> or third-party vendors who could provide equivalent services and whether hiring such candidates would be more cost-effective, practical, or aligned with the Foundation’s goals.</w:t>
      </w:r>
    </w:p>
    <w:p w14:paraId="26E45BF4" w14:textId="77777777" w:rsidR="001B205A" w:rsidRPr="001B205A" w:rsidRDefault="001B205A" w:rsidP="001B205A">
      <w:pPr>
        <w:numPr>
          <w:ilvl w:val="0"/>
          <w:numId w:val="5"/>
        </w:numPr>
      </w:pPr>
      <w:r w:rsidRPr="001B205A">
        <w:rPr>
          <w:b/>
          <w:bCs/>
        </w:rPr>
        <w:t>Qualification Assessment</w:t>
      </w:r>
    </w:p>
    <w:p w14:paraId="21A87762" w14:textId="77777777" w:rsidR="001B205A" w:rsidRPr="001B205A" w:rsidRDefault="001B205A" w:rsidP="001B205A">
      <w:pPr>
        <w:numPr>
          <w:ilvl w:val="1"/>
          <w:numId w:val="5"/>
        </w:numPr>
      </w:pPr>
      <w:r w:rsidRPr="001B205A">
        <w:t xml:space="preserve">Evaluate Lauren Smith’s </w:t>
      </w:r>
      <w:r w:rsidRPr="001B205A">
        <w:rPr>
          <w:b/>
          <w:bCs/>
        </w:rPr>
        <w:t>past performance</w:t>
      </w:r>
      <w:r w:rsidRPr="001B205A">
        <w:t xml:space="preserve"> and qualifications, including her prior voluntary work and whether her continued engagement as a contractor is in the </w:t>
      </w:r>
      <w:r w:rsidRPr="001B205A">
        <w:rPr>
          <w:b/>
          <w:bCs/>
        </w:rPr>
        <w:t>best interest</w:t>
      </w:r>
      <w:r w:rsidRPr="001B205A">
        <w:t xml:space="preserve"> of the Foundation.</w:t>
      </w:r>
    </w:p>
    <w:p w14:paraId="56F8B8FA" w14:textId="77777777" w:rsidR="001B205A" w:rsidRPr="001B205A" w:rsidRDefault="001B205A" w:rsidP="001B205A">
      <w:pPr>
        <w:numPr>
          <w:ilvl w:val="0"/>
          <w:numId w:val="5"/>
        </w:numPr>
      </w:pPr>
      <w:r w:rsidRPr="001B205A">
        <w:rPr>
          <w:b/>
          <w:bCs/>
        </w:rPr>
        <w:t>Compliance with IRS Regulations</w:t>
      </w:r>
    </w:p>
    <w:p w14:paraId="1EDD2883" w14:textId="77777777" w:rsidR="001B205A" w:rsidRPr="001B205A" w:rsidRDefault="001B205A" w:rsidP="001B205A">
      <w:pPr>
        <w:numPr>
          <w:ilvl w:val="1"/>
          <w:numId w:val="5"/>
        </w:numPr>
      </w:pPr>
      <w:r w:rsidRPr="001B205A">
        <w:t>Confirm that the contract and compensation structure comply with IRS regulations regarding compensation to disqualified individuals, including the requirements that the services be necessary, the payment reasonable, and the arrangement properly documented and disclosed.</w:t>
      </w:r>
    </w:p>
    <w:p w14:paraId="2567ED54" w14:textId="77777777" w:rsidR="001B205A" w:rsidRPr="001B205A" w:rsidRDefault="00000000" w:rsidP="001B205A">
      <w:r>
        <w:pict w14:anchorId="5F7F4734">
          <v:rect id="_x0000_i1027" style="width:0;height:1.5pt" o:hralign="center" o:hrstd="t" o:hr="t" fillcolor="#a0a0a0" stroked="f"/>
        </w:pict>
      </w:r>
    </w:p>
    <w:p w14:paraId="1F086AC9" w14:textId="77777777" w:rsidR="001B205A" w:rsidRPr="001B205A" w:rsidRDefault="001B205A" w:rsidP="001B205A">
      <w:pPr>
        <w:rPr>
          <w:b/>
          <w:bCs/>
        </w:rPr>
      </w:pPr>
      <w:r w:rsidRPr="001B205A">
        <w:rPr>
          <w:b/>
          <w:bCs/>
        </w:rPr>
        <w:t>Report and Recommendation</w:t>
      </w:r>
    </w:p>
    <w:p w14:paraId="20F56E7F" w14:textId="77777777" w:rsidR="001B205A" w:rsidRPr="001B205A" w:rsidRDefault="001B205A" w:rsidP="001B205A">
      <w:r w:rsidRPr="001B205A">
        <w:t xml:space="preserve">The committee is requested to provide a </w:t>
      </w:r>
      <w:r w:rsidRPr="001B205A">
        <w:rPr>
          <w:b/>
          <w:bCs/>
        </w:rPr>
        <w:t>written report</w:t>
      </w:r>
      <w:r w:rsidRPr="001B205A">
        <w:t xml:space="preserve"> summarizing the steps taken in its analysis, including:</w:t>
      </w:r>
    </w:p>
    <w:p w14:paraId="029CD0F0" w14:textId="77777777" w:rsidR="001B205A" w:rsidRPr="001B205A" w:rsidRDefault="001B205A" w:rsidP="001B205A">
      <w:pPr>
        <w:numPr>
          <w:ilvl w:val="0"/>
          <w:numId w:val="6"/>
        </w:numPr>
      </w:pPr>
      <w:r w:rsidRPr="001B205A">
        <w:t xml:space="preserve">An assessment of the </w:t>
      </w:r>
      <w:r w:rsidRPr="001B205A">
        <w:rPr>
          <w:b/>
          <w:bCs/>
        </w:rPr>
        <w:t>necessity</w:t>
      </w:r>
      <w:r w:rsidRPr="001B205A">
        <w:t xml:space="preserve"> of the services.</w:t>
      </w:r>
    </w:p>
    <w:p w14:paraId="55082FA6" w14:textId="77777777" w:rsidR="001B205A" w:rsidRPr="001B205A" w:rsidRDefault="001B205A" w:rsidP="001B205A">
      <w:pPr>
        <w:numPr>
          <w:ilvl w:val="0"/>
          <w:numId w:val="6"/>
        </w:numPr>
      </w:pPr>
      <w:r w:rsidRPr="001B205A">
        <w:t xml:space="preserve">A </w:t>
      </w:r>
      <w:r w:rsidRPr="001B205A">
        <w:rPr>
          <w:b/>
          <w:bCs/>
        </w:rPr>
        <w:t>comparison of compensation</w:t>
      </w:r>
      <w:r w:rsidRPr="001B205A">
        <w:t xml:space="preserve"> with industry standards.</w:t>
      </w:r>
    </w:p>
    <w:p w14:paraId="3618D072" w14:textId="77777777" w:rsidR="001B205A" w:rsidRPr="001B205A" w:rsidRDefault="001B205A" w:rsidP="001B205A">
      <w:pPr>
        <w:numPr>
          <w:ilvl w:val="0"/>
          <w:numId w:val="6"/>
        </w:numPr>
      </w:pPr>
      <w:r w:rsidRPr="001B205A">
        <w:t xml:space="preserve">An evaluation of </w:t>
      </w:r>
      <w:r w:rsidRPr="001B205A">
        <w:rPr>
          <w:b/>
          <w:bCs/>
        </w:rPr>
        <w:t>alternative options</w:t>
      </w:r>
      <w:r w:rsidRPr="001B205A">
        <w:t>.</w:t>
      </w:r>
    </w:p>
    <w:p w14:paraId="7101676C" w14:textId="77777777" w:rsidR="001B205A" w:rsidRPr="001B205A" w:rsidRDefault="001B205A" w:rsidP="001B205A">
      <w:pPr>
        <w:numPr>
          <w:ilvl w:val="0"/>
          <w:numId w:val="6"/>
        </w:numPr>
      </w:pPr>
      <w:r w:rsidRPr="001B205A">
        <w:t xml:space="preserve">An analysis of Ms. Smith’s </w:t>
      </w:r>
      <w:r w:rsidRPr="001B205A">
        <w:rPr>
          <w:b/>
          <w:bCs/>
        </w:rPr>
        <w:t>qualifications and past performance</w:t>
      </w:r>
      <w:r w:rsidRPr="001B205A">
        <w:t>.</w:t>
      </w:r>
    </w:p>
    <w:p w14:paraId="5DE99B69" w14:textId="77777777" w:rsidR="001B205A" w:rsidRPr="001B205A" w:rsidRDefault="001B205A" w:rsidP="001B205A">
      <w:pPr>
        <w:numPr>
          <w:ilvl w:val="0"/>
          <w:numId w:val="6"/>
        </w:numPr>
      </w:pPr>
      <w:r w:rsidRPr="001B205A">
        <w:t>A clear recommendation regarding whether the board should proceed with the contract or not.</w:t>
      </w:r>
    </w:p>
    <w:p w14:paraId="65FBEAAD" w14:textId="7E1A743C" w:rsidR="001B205A" w:rsidRPr="001B205A" w:rsidRDefault="001B205A" w:rsidP="001B205A">
      <w:r w:rsidRPr="001B205A">
        <w:t xml:space="preserve">The report should also include any additional documentation or evidence supporting the findings. The committee’s report is due by </w:t>
      </w:r>
      <w:r w:rsidR="007C5D7D">
        <w:rPr>
          <w:b/>
          <w:bCs/>
        </w:rPr>
        <w:t>12/01/2024</w:t>
      </w:r>
      <w:r w:rsidRPr="001B205A">
        <w:t>, to allow time for the board’s review and decision.</w:t>
      </w:r>
    </w:p>
    <w:p w14:paraId="0C66DF65" w14:textId="77777777" w:rsidR="001B205A" w:rsidRPr="001B205A" w:rsidRDefault="00000000" w:rsidP="001B205A">
      <w:r>
        <w:pict w14:anchorId="30DB7919">
          <v:rect id="_x0000_i1028" style="width:0;height:1.5pt" o:hralign="center" o:hrstd="t" o:hr="t" fillcolor="#a0a0a0" stroked="f"/>
        </w:pict>
      </w:r>
    </w:p>
    <w:p w14:paraId="6194D26C" w14:textId="77777777" w:rsidR="001B205A" w:rsidRPr="001B205A" w:rsidRDefault="001B205A" w:rsidP="001B205A">
      <w:pPr>
        <w:rPr>
          <w:b/>
          <w:bCs/>
        </w:rPr>
      </w:pPr>
      <w:r w:rsidRPr="001B205A">
        <w:rPr>
          <w:b/>
          <w:bCs/>
        </w:rPr>
        <w:lastRenderedPageBreak/>
        <w:t>Action by the Board</w:t>
      </w:r>
    </w:p>
    <w:p w14:paraId="255963EF" w14:textId="77777777" w:rsidR="001B205A" w:rsidRPr="001B205A" w:rsidRDefault="001B205A" w:rsidP="001B205A">
      <w:r w:rsidRPr="001B205A">
        <w:t>Based on the findings and recommendations of the ad hoc committee, the Board of Directors will review and vote on whether to approve or adjust the proposed contract with Lauren Smith. The board will also ensure that any necessary measures are taken to comply with conflict-of-interest and self-dealing rules.</w:t>
      </w:r>
    </w:p>
    <w:p w14:paraId="715B9479" w14:textId="77777777" w:rsidR="001B205A" w:rsidRPr="001B205A" w:rsidRDefault="00000000" w:rsidP="001B205A">
      <w:r>
        <w:pict w14:anchorId="6EC17A70">
          <v:rect id="_x0000_i1029" style="width:0;height:1.5pt" o:hralign="center" o:hrstd="t" o:hr="t" fillcolor="#a0a0a0" stroked="f"/>
        </w:pict>
      </w:r>
    </w:p>
    <w:p w14:paraId="3AD31B09" w14:textId="77777777" w:rsidR="001B205A" w:rsidRDefault="001B205A" w:rsidP="001B205A">
      <w:pPr>
        <w:rPr>
          <w:b/>
          <w:bCs/>
        </w:rPr>
      </w:pPr>
      <w:r w:rsidRPr="001B205A">
        <w:rPr>
          <w:b/>
          <w:bCs/>
        </w:rPr>
        <w:t>Signed by:</w:t>
      </w:r>
    </w:p>
    <w:p w14:paraId="3B71F2B9" w14:textId="77777777" w:rsidR="001B205A" w:rsidRDefault="001B205A" w:rsidP="001B205A">
      <w:pPr>
        <w:rPr>
          <w:b/>
          <w:bCs/>
        </w:rPr>
      </w:pPr>
    </w:p>
    <w:p w14:paraId="615BDF30" w14:textId="4FC1088D" w:rsidR="001B205A" w:rsidRPr="001B205A" w:rsidRDefault="001B205A" w:rsidP="001B205A">
      <w:r w:rsidRPr="001B205A">
        <w:br/>
      </w:r>
      <w:r>
        <w:t>Jim Zubler,</w:t>
      </w:r>
      <w:r w:rsidRPr="001B205A">
        <w:t xml:space="preserve"> </w:t>
      </w:r>
      <w:r>
        <w:t xml:space="preserve">Vice </w:t>
      </w:r>
      <w:r w:rsidRPr="001B205A">
        <w:t>Chair</w:t>
      </w:r>
      <w:r w:rsidRPr="001B205A">
        <w:br/>
        <w:t xml:space="preserve">ChicoryLane </w:t>
      </w:r>
      <w:r>
        <w:t>Foundation</w:t>
      </w:r>
    </w:p>
    <w:p w14:paraId="1518BC66" w14:textId="77777777" w:rsidR="000E63BA" w:rsidRPr="001B205A" w:rsidRDefault="000E63BA" w:rsidP="001B205A"/>
    <w:sectPr w:rsidR="000E63BA" w:rsidRPr="001B20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F41DCD"/>
    <w:multiLevelType w:val="multilevel"/>
    <w:tmpl w:val="1362E6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6CF6C99"/>
    <w:multiLevelType w:val="multilevel"/>
    <w:tmpl w:val="02A82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DB18B2"/>
    <w:multiLevelType w:val="multilevel"/>
    <w:tmpl w:val="498E3A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A340115"/>
    <w:multiLevelType w:val="multilevel"/>
    <w:tmpl w:val="7DA47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F43A33"/>
    <w:multiLevelType w:val="multilevel"/>
    <w:tmpl w:val="108413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AF1693"/>
    <w:multiLevelType w:val="multilevel"/>
    <w:tmpl w:val="90FEEF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65194079">
    <w:abstractNumId w:val="2"/>
  </w:num>
  <w:num w:numId="2" w16cid:durableId="548881356">
    <w:abstractNumId w:val="4"/>
  </w:num>
  <w:num w:numId="3" w16cid:durableId="1949657370">
    <w:abstractNumId w:val="5"/>
  </w:num>
  <w:num w:numId="4" w16cid:durableId="2140996161">
    <w:abstractNumId w:val="3"/>
  </w:num>
  <w:num w:numId="5" w16cid:durableId="1598829755">
    <w:abstractNumId w:val="0"/>
  </w:num>
  <w:num w:numId="6" w16cid:durableId="16621975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C76"/>
    <w:rsid w:val="000E63BA"/>
    <w:rsid w:val="001B205A"/>
    <w:rsid w:val="007C5D7D"/>
    <w:rsid w:val="00B83438"/>
    <w:rsid w:val="00DD5A33"/>
    <w:rsid w:val="00F4256D"/>
    <w:rsid w:val="00FC4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D072F"/>
  <w15:chartTrackingRefBased/>
  <w15:docId w15:val="{C76FE0BB-3344-442B-995C-8A0B54EE6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4C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4C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4C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4C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4C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4C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4C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4C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4C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4C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4C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4C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4C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4C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4C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4C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4C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4C76"/>
    <w:rPr>
      <w:rFonts w:eastAsiaTheme="majorEastAsia" w:cstheme="majorBidi"/>
      <w:color w:val="272727" w:themeColor="text1" w:themeTint="D8"/>
    </w:rPr>
  </w:style>
  <w:style w:type="paragraph" w:styleId="Title">
    <w:name w:val="Title"/>
    <w:basedOn w:val="Normal"/>
    <w:next w:val="Normal"/>
    <w:link w:val="TitleChar"/>
    <w:uiPriority w:val="10"/>
    <w:qFormat/>
    <w:rsid w:val="00FC4C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4C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4C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4C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4C76"/>
    <w:pPr>
      <w:spacing w:before="160"/>
      <w:jc w:val="center"/>
    </w:pPr>
    <w:rPr>
      <w:i/>
      <w:iCs/>
      <w:color w:val="404040" w:themeColor="text1" w:themeTint="BF"/>
    </w:rPr>
  </w:style>
  <w:style w:type="character" w:customStyle="1" w:styleId="QuoteChar">
    <w:name w:val="Quote Char"/>
    <w:basedOn w:val="DefaultParagraphFont"/>
    <w:link w:val="Quote"/>
    <w:uiPriority w:val="29"/>
    <w:rsid w:val="00FC4C76"/>
    <w:rPr>
      <w:i/>
      <w:iCs/>
      <w:color w:val="404040" w:themeColor="text1" w:themeTint="BF"/>
    </w:rPr>
  </w:style>
  <w:style w:type="paragraph" w:styleId="ListParagraph">
    <w:name w:val="List Paragraph"/>
    <w:basedOn w:val="Normal"/>
    <w:uiPriority w:val="34"/>
    <w:qFormat/>
    <w:rsid w:val="00FC4C76"/>
    <w:pPr>
      <w:ind w:left="720"/>
      <w:contextualSpacing/>
    </w:pPr>
  </w:style>
  <w:style w:type="character" w:styleId="IntenseEmphasis">
    <w:name w:val="Intense Emphasis"/>
    <w:basedOn w:val="DefaultParagraphFont"/>
    <w:uiPriority w:val="21"/>
    <w:qFormat/>
    <w:rsid w:val="00FC4C76"/>
    <w:rPr>
      <w:i/>
      <w:iCs/>
      <w:color w:val="0F4761" w:themeColor="accent1" w:themeShade="BF"/>
    </w:rPr>
  </w:style>
  <w:style w:type="paragraph" w:styleId="IntenseQuote">
    <w:name w:val="Intense Quote"/>
    <w:basedOn w:val="Normal"/>
    <w:next w:val="Normal"/>
    <w:link w:val="IntenseQuoteChar"/>
    <w:uiPriority w:val="30"/>
    <w:qFormat/>
    <w:rsid w:val="00FC4C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4C76"/>
    <w:rPr>
      <w:i/>
      <w:iCs/>
      <w:color w:val="0F4761" w:themeColor="accent1" w:themeShade="BF"/>
    </w:rPr>
  </w:style>
  <w:style w:type="character" w:styleId="IntenseReference">
    <w:name w:val="Intense Reference"/>
    <w:basedOn w:val="DefaultParagraphFont"/>
    <w:uiPriority w:val="32"/>
    <w:qFormat/>
    <w:rsid w:val="00FC4C7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698185">
      <w:bodyDiv w:val="1"/>
      <w:marLeft w:val="0"/>
      <w:marRight w:val="0"/>
      <w:marTop w:val="0"/>
      <w:marBottom w:val="0"/>
      <w:divBdr>
        <w:top w:val="none" w:sz="0" w:space="0" w:color="auto"/>
        <w:left w:val="none" w:sz="0" w:space="0" w:color="auto"/>
        <w:bottom w:val="none" w:sz="0" w:space="0" w:color="auto"/>
        <w:right w:val="none" w:sz="0" w:space="0" w:color="auto"/>
      </w:divBdr>
    </w:div>
    <w:div w:id="360936855">
      <w:bodyDiv w:val="1"/>
      <w:marLeft w:val="0"/>
      <w:marRight w:val="0"/>
      <w:marTop w:val="0"/>
      <w:marBottom w:val="0"/>
      <w:divBdr>
        <w:top w:val="none" w:sz="0" w:space="0" w:color="auto"/>
        <w:left w:val="none" w:sz="0" w:space="0" w:color="auto"/>
        <w:bottom w:val="none" w:sz="0" w:space="0" w:color="auto"/>
        <w:right w:val="none" w:sz="0" w:space="0" w:color="auto"/>
      </w:divBdr>
    </w:div>
    <w:div w:id="578902785">
      <w:bodyDiv w:val="1"/>
      <w:marLeft w:val="0"/>
      <w:marRight w:val="0"/>
      <w:marTop w:val="0"/>
      <w:marBottom w:val="0"/>
      <w:divBdr>
        <w:top w:val="none" w:sz="0" w:space="0" w:color="auto"/>
        <w:left w:val="none" w:sz="0" w:space="0" w:color="auto"/>
        <w:bottom w:val="none" w:sz="0" w:space="0" w:color="auto"/>
        <w:right w:val="none" w:sz="0" w:space="0" w:color="auto"/>
      </w:divBdr>
    </w:div>
    <w:div w:id="759764009">
      <w:bodyDiv w:val="1"/>
      <w:marLeft w:val="0"/>
      <w:marRight w:val="0"/>
      <w:marTop w:val="0"/>
      <w:marBottom w:val="0"/>
      <w:divBdr>
        <w:top w:val="none" w:sz="0" w:space="0" w:color="auto"/>
        <w:left w:val="none" w:sz="0" w:space="0" w:color="auto"/>
        <w:bottom w:val="none" w:sz="0" w:space="0" w:color="auto"/>
        <w:right w:val="none" w:sz="0" w:space="0" w:color="auto"/>
      </w:divBdr>
    </w:div>
    <w:div w:id="768234560">
      <w:bodyDiv w:val="1"/>
      <w:marLeft w:val="0"/>
      <w:marRight w:val="0"/>
      <w:marTop w:val="0"/>
      <w:marBottom w:val="0"/>
      <w:divBdr>
        <w:top w:val="none" w:sz="0" w:space="0" w:color="auto"/>
        <w:left w:val="none" w:sz="0" w:space="0" w:color="auto"/>
        <w:bottom w:val="none" w:sz="0" w:space="0" w:color="auto"/>
        <w:right w:val="none" w:sz="0" w:space="0" w:color="auto"/>
      </w:divBdr>
    </w:div>
    <w:div w:id="1147404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143</TotalTime>
  <Pages>3</Pages>
  <Words>568</Words>
  <Characters>3243</Characters>
  <Application>Microsoft Office Word</Application>
  <DocSecurity>0</DocSecurity>
  <Lines>27</Lines>
  <Paragraphs>7</Paragraphs>
  <ScaleCrop>false</ScaleCrop>
  <Company/>
  <LinksUpToDate>false</LinksUpToDate>
  <CharactersWithSpaces>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smith</dc:creator>
  <cp:keywords/>
  <dc:description/>
  <cp:lastModifiedBy>john smith</cp:lastModifiedBy>
  <cp:revision>2</cp:revision>
  <cp:lastPrinted>2024-09-18T15:54:00Z</cp:lastPrinted>
  <dcterms:created xsi:type="dcterms:W3CDTF">2024-09-19T19:39:00Z</dcterms:created>
  <dcterms:modified xsi:type="dcterms:W3CDTF">2024-09-19T19:39:00Z</dcterms:modified>
</cp:coreProperties>
</file>